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tabs>
          <w:tab w:val="left" w:pos="5400"/>
          <w:tab w:val="left" w:pos="5580"/>
          <w:tab w:val="left" w:pos="6120"/>
        </w:tabs>
        <w:snapToGrid w:val="0"/>
        <w:spacing w:before="0" w:beforeAutospacing="0" w:after="0" w:afterAutospacing="0" w:line="579" w:lineRule="exact"/>
        <w:jc w:val="both"/>
        <w:rPr>
          <w:rFonts w:hAnsi="宋体" w:eastAsia="方正黑体_GBK"/>
          <w:color w:val="000000"/>
          <w:sz w:val="32"/>
          <w:szCs w:val="32"/>
        </w:rPr>
      </w:pPr>
      <w:r>
        <w:rPr>
          <w:rFonts w:hint="eastAsia" w:hAnsi="宋体" w:eastAsia="方正黑体_GBK"/>
          <w:color w:val="000000"/>
          <w:sz w:val="32"/>
          <w:szCs w:val="32"/>
        </w:rPr>
        <w:t>附件</w:t>
      </w:r>
      <w:r>
        <w:rPr>
          <w:rFonts w:hAnsi="宋体" w:eastAsia="方正黑体_GBK"/>
          <w:color w:val="000000"/>
          <w:sz w:val="32"/>
          <w:szCs w:val="32"/>
        </w:rPr>
        <w:t>1</w:t>
      </w:r>
    </w:p>
    <w:p>
      <w:pPr>
        <w:snapToGrid w:val="0"/>
        <w:spacing w:line="579" w:lineRule="exact"/>
        <w:jc w:val="center"/>
        <w:rPr>
          <w:rFonts w:hint="eastAsia" w:ascii="宋体" w:hAnsi="宋体" w:eastAsia="方正小标宋_GBK"/>
          <w:kern w:val="36"/>
          <w:sz w:val="44"/>
          <w:szCs w:val="44"/>
        </w:rPr>
      </w:pPr>
      <w:r>
        <w:rPr>
          <w:rFonts w:hint="eastAsia" w:ascii="宋体" w:hAnsi="宋体" w:eastAsia="方正小标宋_GBK"/>
          <w:kern w:val="36"/>
          <w:sz w:val="44"/>
          <w:szCs w:val="44"/>
        </w:rPr>
        <w:t>“专升本”</w:t>
      </w:r>
      <w:r>
        <w:rPr>
          <w:rFonts w:ascii="宋体" w:hAnsi="宋体" w:eastAsia="方正小标宋_GBK"/>
          <w:kern w:val="36"/>
          <w:sz w:val="44"/>
          <w:szCs w:val="44"/>
        </w:rPr>
        <w:t>参</w:t>
      </w:r>
      <w:r>
        <w:rPr>
          <w:rFonts w:hint="eastAsia" w:ascii="宋体" w:hAnsi="宋体" w:eastAsia="方正小标宋_GBK"/>
          <w:kern w:val="36"/>
          <w:sz w:val="44"/>
          <w:szCs w:val="44"/>
        </w:rPr>
        <w:t>培告知书</w:t>
      </w:r>
    </w:p>
    <w:p>
      <w:pPr>
        <w:snapToGrid w:val="0"/>
        <w:spacing w:line="579" w:lineRule="exact"/>
        <w:ind w:firstLine="880" w:firstLineChars="200"/>
        <w:rPr>
          <w:rFonts w:ascii="宋体" w:hAnsi="宋体" w:eastAsia="方正小标宋_GBK"/>
          <w:kern w:val="36"/>
          <w:sz w:val="44"/>
          <w:szCs w:val="44"/>
        </w:rPr>
      </w:pPr>
    </w:p>
    <w:p>
      <w:pPr>
        <w:pStyle w:val="5"/>
        <w:snapToGrid w:val="0"/>
        <w:spacing w:before="0" w:beforeAutospacing="0" w:after="0" w:afterAutospacing="0" w:line="579" w:lineRule="exact"/>
        <w:jc w:val="both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/>
          <w:sz w:val="32"/>
          <w:szCs w:val="32"/>
        </w:rPr>
        <w:t>亲爱的</w:t>
      </w:r>
      <w:r>
        <w:rPr>
          <w:rFonts w:hAnsi="宋体" w:eastAsia="方正仿宋_GBK"/>
          <w:sz w:val="32"/>
          <w:szCs w:val="32"/>
        </w:rPr>
        <w:t>同学及</w:t>
      </w:r>
      <w:r>
        <w:rPr>
          <w:rFonts w:hint="eastAsia" w:hAnsi="宋体" w:eastAsia="方正仿宋_GBK"/>
          <w:sz w:val="32"/>
          <w:szCs w:val="32"/>
        </w:rPr>
        <w:t>家长朋友：</w:t>
      </w:r>
    </w:p>
    <w:p>
      <w:pPr>
        <w:pStyle w:val="5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Ansi="宋体" w:eastAsia="方正仿宋_GBK"/>
          <w:sz w:val="32"/>
          <w:szCs w:val="32"/>
        </w:rPr>
      </w:pPr>
      <w:r>
        <w:rPr>
          <w:rFonts w:hAnsi="宋体" w:eastAsia="方正仿宋_GBK" w:cs="方正仿宋_GBK"/>
          <w:sz w:val="32"/>
          <w:szCs w:val="32"/>
        </w:rPr>
        <w:t>为防止</w:t>
      </w:r>
      <w:r>
        <w:rPr>
          <w:rFonts w:hint="eastAsia" w:hAnsi="宋体" w:eastAsia="方正仿宋_GBK" w:cs="方正仿宋_GBK"/>
          <w:sz w:val="32"/>
          <w:szCs w:val="32"/>
        </w:rPr>
        <w:t>“专升本”培训</w:t>
      </w:r>
      <w:r>
        <w:rPr>
          <w:rFonts w:hAnsi="宋体" w:eastAsia="方正仿宋_GBK" w:cs="方正仿宋_GBK"/>
          <w:sz w:val="32"/>
          <w:szCs w:val="32"/>
        </w:rPr>
        <w:t>公司发生</w:t>
      </w:r>
      <w:r>
        <w:rPr>
          <w:rFonts w:hint="eastAsia" w:hAnsi="宋体" w:eastAsia="方正仿宋_GBK" w:cs="方正仿宋_GBK"/>
          <w:sz w:val="32"/>
          <w:szCs w:val="32"/>
        </w:rPr>
        <w:t>“</w:t>
      </w:r>
      <w:r>
        <w:rPr>
          <w:rFonts w:hAnsi="宋体" w:eastAsia="方正仿宋_GBK" w:cs="方正仿宋_GBK"/>
          <w:sz w:val="32"/>
          <w:szCs w:val="32"/>
        </w:rPr>
        <w:t>卷款跑路</w:t>
      </w:r>
      <w:r>
        <w:rPr>
          <w:rFonts w:hint="eastAsia" w:hAnsi="宋体" w:eastAsia="方正仿宋_GBK" w:cs="方正仿宋_GBK"/>
          <w:sz w:val="32"/>
          <w:szCs w:val="32"/>
        </w:rPr>
        <w:t>”</w:t>
      </w:r>
      <w:r>
        <w:rPr>
          <w:rFonts w:hAnsi="宋体" w:eastAsia="方正仿宋_GBK" w:cs="方正仿宋_GBK"/>
          <w:sz w:val="32"/>
          <w:szCs w:val="32"/>
        </w:rPr>
        <w:t>风险和学生参培后形成</w:t>
      </w:r>
      <w:r>
        <w:rPr>
          <w:rFonts w:hint="eastAsia" w:hAnsi="宋体" w:eastAsia="方正仿宋_GBK" w:cs="方正仿宋_GBK"/>
          <w:sz w:val="32"/>
          <w:szCs w:val="32"/>
        </w:rPr>
        <w:t>退费难</w:t>
      </w:r>
      <w:r>
        <w:rPr>
          <w:rFonts w:hAnsi="宋体" w:eastAsia="方正仿宋_GBK" w:cs="方正仿宋_GBK"/>
          <w:sz w:val="32"/>
          <w:szCs w:val="32"/>
        </w:rPr>
        <w:t>、</w:t>
      </w:r>
      <w:r>
        <w:rPr>
          <w:rFonts w:hint="eastAsia" w:hAnsi="宋体" w:eastAsia="方正仿宋_GBK" w:cs="方正仿宋_GBK"/>
          <w:sz w:val="32"/>
          <w:szCs w:val="32"/>
        </w:rPr>
        <w:t>维权难</w:t>
      </w:r>
      <w:r>
        <w:rPr>
          <w:rFonts w:hAnsi="宋体" w:eastAsia="方正仿宋_GBK" w:cs="方正仿宋_GBK"/>
          <w:sz w:val="32"/>
          <w:szCs w:val="32"/>
        </w:rPr>
        <w:t>问题。现郑重告知：江津区内的</w:t>
      </w:r>
      <w:r>
        <w:rPr>
          <w:rFonts w:hint="eastAsia" w:hAnsi="宋体" w:eastAsia="方正仿宋_GBK" w:cs="方正仿宋_GBK"/>
          <w:sz w:val="32"/>
          <w:szCs w:val="32"/>
        </w:rPr>
        <w:t>“专升本”</w:t>
      </w:r>
      <w:r>
        <w:rPr>
          <w:rFonts w:hAnsi="宋体" w:eastAsia="方正仿宋_GBK" w:cs="方正仿宋_GBK"/>
          <w:sz w:val="32"/>
          <w:szCs w:val="32"/>
        </w:rPr>
        <w:t>培训公司系一般市场主体，均无办学许可证，此类培训公司</w:t>
      </w:r>
      <w:r>
        <w:rPr>
          <w:rFonts w:hint="eastAsia" w:ascii="方正仿宋_GBK" w:eastAsia="方正仿宋_GBK" w:cs="宋体"/>
          <w:sz w:val="32"/>
          <w:szCs w:val="32"/>
        </w:rPr>
        <w:t>不属于校外培训监管范围，</w:t>
      </w:r>
      <w:r>
        <w:rPr>
          <w:rFonts w:hAnsi="宋体" w:eastAsia="方正仿宋_GBK" w:cs="方正仿宋_GBK"/>
          <w:sz w:val="32"/>
          <w:szCs w:val="32"/>
        </w:rPr>
        <w:t>未实行资金监管，可能存在</w:t>
      </w:r>
      <w:r>
        <w:rPr>
          <w:rFonts w:hint="eastAsia" w:hAnsi="宋体" w:eastAsia="方正仿宋_GBK" w:cs="方正仿宋_GBK"/>
          <w:sz w:val="32"/>
          <w:szCs w:val="32"/>
        </w:rPr>
        <w:t>“</w:t>
      </w:r>
      <w:r>
        <w:rPr>
          <w:rFonts w:hAnsi="宋体" w:eastAsia="方正仿宋_GBK" w:cs="方正仿宋_GBK"/>
          <w:sz w:val="32"/>
          <w:szCs w:val="32"/>
        </w:rPr>
        <w:t>卷款跑路</w:t>
      </w:r>
      <w:r>
        <w:rPr>
          <w:rFonts w:hint="eastAsia" w:hAnsi="宋体" w:eastAsia="方正仿宋_GBK" w:cs="方正仿宋_GBK"/>
          <w:sz w:val="32"/>
          <w:szCs w:val="32"/>
        </w:rPr>
        <w:t>”</w:t>
      </w:r>
      <w:r>
        <w:rPr>
          <w:rFonts w:hAnsi="宋体" w:eastAsia="方正仿宋_GBK" w:cs="方正仿宋_GBK"/>
          <w:sz w:val="32"/>
          <w:szCs w:val="32"/>
        </w:rPr>
        <w:t>风险和参培后存在</w:t>
      </w:r>
      <w:r>
        <w:rPr>
          <w:rFonts w:hint="eastAsia" w:hAnsi="宋体" w:eastAsia="方正仿宋_GBK" w:cs="方正仿宋_GBK"/>
          <w:sz w:val="32"/>
          <w:szCs w:val="32"/>
        </w:rPr>
        <w:t>退费难</w:t>
      </w:r>
      <w:r>
        <w:rPr>
          <w:rFonts w:hAnsi="宋体" w:eastAsia="方正仿宋_GBK" w:cs="方正仿宋_GBK"/>
          <w:sz w:val="32"/>
          <w:szCs w:val="32"/>
        </w:rPr>
        <w:t>、</w:t>
      </w:r>
      <w:r>
        <w:rPr>
          <w:rFonts w:hint="eastAsia" w:hAnsi="宋体" w:eastAsia="方正仿宋_GBK" w:cs="方正仿宋_GBK"/>
          <w:sz w:val="32"/>
          <w:szCs w:val="32"/>
        </w:rPr>
        <w:t>维权难</w:t>
      </w:r>
      <w:r>
        <w:rPr>
          <w:rFonts w:hAnsi="宋体" w:eastAsia="方正仿宋_GBK" w:cs="方正仿宋_GBK"/>
          <w:sz w:val="32"/>
          <w:szCs w:val="32"/>
        </w:rPr>
        <w:t>问题。</w:t>
      </w:r>
      <w:r>
        <w:rPr>
          <w:rFonts w:hint="eastAsia" w:hAnsi="宋体" w:eastAsia="方正仿宋_GBK" w:cs="方正仿宋_GBK"/>
          <w:sz w:val="32"/>
          <w:szCs w:val="32"/>
        </w:rPr>
        <w:t>为切实</w:t>
      </w:r>
      <w:r>
        <w:rPr>
          <w:rFonts w:hAnsi="宋体" w:eastAsia="方正仿宋_GBK" w:cs="方正仿宋_GBK"/>
          <w:sz w:val="32"/>
          <w:szCs w:val="32"/>
        </w:rPr>
        <w:t>维</w:t>
      </w:r>
      <w:r>
        <w:rPr>
          <w:rFonts w:hint="eastAsia" w:hAnsi="宋体" w:eastAsia="方正仿宋_GBK" w:cs="方正仿宋_GBK"/>
          <w:sz w:val="32"/>
          <w:szCs w:val="32"/>
        </w:rPr>
        <w:t>护</w:t>
      </w:r>
      <w:r>
        <w:rPr>
          <w:rFonts w:hAnsi="宋体" w:eastAsia="方正仿宋_GBK" w:cs="方正仿宋_GBK"/>
          <w:sz w:val="32"/>
          <w:szCs w:val="32"/>
        </w:rPr>
        <w:t>您的</w:t>
      </w:r>
      <w:r>
        <w:rPr>
          <w:rFonts w:hint="eastAsia" w:hAnsi="宋体" w:eastAsia="方正仿宋_GBK" w:cs="方正仿宋_GBK"/>
          <w:sz w:val="32"/>
          <w:szCs w:val="32"/>
        </w:rPr>
        <w:t>利益，</w:t>
      </w:r>
      <w:r>
        <w:rPr>
          <w:rFonts w:hAnsi="宋体" w:eastAsia="方正仿宋_GBK"/>
          <w:sz w:val="32"/>
          <w:szCs w:val="32"/>
        </w:rPr>
        <w:t>区教委</w:t>
      </w:r>
      <w:r>
        <w:rPr>
          <w:rFonts w:hint="eastAsia" w:hAnsi="宋体" w:eastAsia="方正仿宋_GBK"/>
          <w:sz w:val="32"/>
          <w:szCs w:val="32"/>
        </w:rPr>
        <w:t>特别提醒</w:t>
      </w:r>
      <w:r>
        <w:rPr>
          <w:rFonts w:hAnsi="宋体" w:eastAsia="方正仿宋_GBK"/>
          <w:sz w:val="32"/>
          <w:szCs w:val="32"/>
        </w:rPr>
        <w:t>您注意以下事项</w:t>
      </w:r>
      <w:r>
        <w:rPr>
          <w:rFonts w:hint="eastAsia" w:hAnsi="宋体" w:eastAsia="方正仿宋_GBK"/>
          <w:sz w:val="32"/>
          <w:szCs w:val="32"/>
        </w:rPr>
        <w:t>：</w:t>
      </w:r>
    </w:p>
    <w:p>
      <w:pPr>
        <w:spacing w:line="579" w:lineRule="exact"/>
        <w:ind w:left="277" w:leftChars="132" w:firstLine="320" w:firstLineChars="100"/>
        <w:rPr>
          <w:rStyle w:val="8"/>
          <w:rFonts w:hint="eastAsia" w:ascii="宋体" w:hAnsi="宋体" w:eastAsia="方正黑体_GBK" w:cs="方正黑体_GBK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宋体" w:hAnsi="宋体" w:eastAsia="方正黑体_GBK" w:cs="方正黑体_GBK"/>
          <w:b w:val="0"/>
          <w:bCs/>
          <w:color w:val="000000"/>
          <w:sz w:val="32"/>
          <w:szCs w:val="32"/>
        </w:rPr>
        <w:t>一、</w:t>
      </w:r>
      <w:r>
        <w:rPr>
          <w:rStyle w:val="8"/>
          <w:rFonts w:ascii="宋体" w:hAnsi="宋体" w:eastAsia="方正黑体_GBK" w:cs="方正黑体_GBK"/>
          <w:b w:val="0"/>
          <w:bCs/>
          <w:color w:val="000000"/>
          <w:sz w:val="32"/>
          <w:szCs w:val="32"/>
        </w:rPr>
        <w:t>做好学业规划</w:t>
      </w:r>
      <w:r>
        <w:rPr>
          <w:rFonts w:hint="eastAsia" w:ascii="宋体" w:hAnsi="宋体" w:eastAsia="方正黑体_GBK" w:cs="方正黑体_GBK"/>
          <w:bCs/>
          <w:color w:val="000000"/>
          <w:kern w:val="0"/>
          <w:sz w:val="32"/>
          <w:szCs w:val="32"/>
        </w:rPr>
        <w:t>、理性参加培训</w:t>
      </w:r>
    </w:p>
    <w:p>
      <w:pPr>
        <w:pStyle w:val="9"/>
        <w:widowControl w:val="0"/>
        <w:snapToGrid w:val="0"/>
        <w:spacing w:before="0" w:beforeAutospacing="0" w:after="0" w:afterAutospacing="0" w:line="579" w:lineRule="exact"/>
        <w:ind w:firstLine="640" w:firstLineChars="200"/>
        <w:jc w:val="both"/>
      </w:pPr>
      <w:r>
        <w:rPr>
          <w:rFonts w:hAnsi="宋体" w:eastAsia="方正仿宋_GBK" w:cs="Arial"/>
          <w:sz w:val="32"/>
          <w:szCs w:val="32"/>
        </w:rPr>
        <w:t>国家统招</w:t>
      </w:r>
      <w:r>
        <w:rPr>
          <w:rFonts w:hint="eastAsia" w:hAnsi="宋体" w:eastAsia="方正仿宋_GBK" w:cs="Arial"/>
          <w:sz w:val="32"/>
          <w:szCs w:val="32"/>
        </w:rPr>
        <w:t>“</w:t>
      </w:r>
      <w:r>
        <w:rPr>
          <w:rFonts w:hAnsi="宋体" w:eastAsia="方正仿宋_GBK" w:cs="Arial"/>
          <w:sz w:val="32"/>
          <w:szCs w:val="32"/>
        </w:rPr>
        <w:t>专升本</w:t>
      </w:r>
      <w:r>
        <w:rPr>
          <w:rFonts w:hint="eastAsia" w:hAnsi="宋体" w:eastAsia="方正仿宋_GBK" w:cs="Arial"/>
          <w:sz w:val="32"/>
          <w:szCs w:val="32"/>
        </w:rPr>
        <w:t>”</w:t>
      </w:r>
      <w:r>
        <w:rPr>
          <w:rFonts w:hAnsi="宋体" w:eastAsia="方正仿宋_GBK" w:cs="Arial"/>
          <w:sz w:val="32"/>
          <w:szCs w:val="32"/>
        </w:rPr>
        <w:t>要求为全日制专科学生，无挂科无处分，只有一次考试机会，不能跨省报考，在专科三年级下学期可以通过统招</w:t>
      </w:r>
      <w:r>
        <w:rPr>
          <w:rFonts w:hint="eastAsia" w:hAnsi="宋体" w:eastAsia="方正仿宋_GBK" w:cs="Arial"/>
          <w:sz w:val="32"/>
          <w:szCs w:val="32"/>
        </w:rPr>
        <w:t>“</w:t>
      </w:r>
      <w:r>
        <w:rPr>
          <w:rFonts w:hAnsi="宋体" w:eastAsia="方正仿宋_GBK" w:cs="Arial"/>
          <w:sz w:val="32"/>
          <w:szCs w:val="32"/>
        </w:rPr>
        <w:t>专升本</w:t>
      </w:r>
      <w:r>
        <w:rPr>
          <w:rFonts w:hint="eastAsia" w:hAnsi="宋体" w:eastAsia="方正仿宋_GBK" w:cs="Arial"/>
          <w:sz w:val="32"/>
          <w:szCs w:val="32"/>
        </w:rPr>
        <w:t>”</w:t>
      </w:r>
      <w:r>
        <w:rPr>
          <w:rFonts w:hAnsi="宋体" w:eastAsia="方正仿宋_GBK" w:cs="Arial"/>
          <w:sz w:val="32"/>
          <w:szCs w:val="32"/>
        </w:rPr>
        <w:t>考试，进入符合条件的普通高等学校就读本科。首先，建议同学们做好专科期间学习规划，在学习过程中，努力提升专科阶段的基础理论知识和专业技能。其次，专升本考试主要是对专科阶段的学习进行考核，请认真评估自己的学业水平，不盲目、贸然、跟风参加</w:t>
      </w:r>
      <w:r>
        <w:rPr>
          <w:rFonts w:hint="eastAsia" w:hAnsi="宋体" w:eastAsia="方正仿宋_GBK" w:cs="Arial"/>
          <w:sz w:val="32"/>
          <w:szCs w:val="32"/>
        </w:rPr>
        <w:t>“</w:t>
      </w:r>
      <w:r>
        <w:rPr>
          <w:rFonts w:hAnsi="宋体" w:eastAsia="方正仿宋_GBK" w:cs="Arial"/>
          <w:sz w:val="32"/>
          <w:szCs w:val="32"/>
        </w:rPr>
        <w:t>专升本</w:t>
      </w:r>
      <w:r>
        <w:rPr>
          <w:rFonts w:hint="eastAsia" w:hAnsi="宋体" w:eastAsia="方正仿宋_GBK" w:cs="Arial"/>
          <w:sz w:val="32"/>
          <w:szCs w:val="32"/>
        </w:rPr>
        <w:t>”</w:t>
      </w:r>
      <w:r>
        <w:rPr>
          <w:rFonts w:hAnsi="宋体" w:eastAsia="方正仿宋_GBK" w:cs="Arial"/>
          <w:sz w:val="32"/>
          <w:szCs w:val="32"/>
        </w:rPr>
        <w:t>培训。最后，确需参加</w:t>
      </w:r>
      <w:r>
        <w:rPr>
          <w:rFonts w:hint="eastAsia" w:hAnsi="宋体" w:eastAsia="方正仿宋_GBK" w:cs="Arial"/>
          <w:sz w:val="32"/>
          <w:szCs w:val="32"/>
        </w:rPr>
        <w:t>“</w:t>
      </w:r>
      <w:r>
        <w:rPr>
          <w:rFonts w:hAnsi="宋体" w:eastAsia="方正仿宋_GBK" w:cs="Arial"/>
          <w:sz w:val="32"/>
          <w:szCs w:val="32"/>
        </w:rPr>
        <w:t>专升本</w:t>
      </w:r>
      <w:r>
        <w:rPr>
          <w:rFonts w:hint="eastAsia" w:hAnsi="宋体" w:eastAsia="方正仿宋_GBK" w:cs="Arial"/>
          <w:sz w:val="32"/>
          <w:szCs w:val="32"/>
        </w:rPr>
        <w:t>”</w:t>
      </w:r>
      <w:r>
        <w:rPr>
          <w:rFonts w:hAnsi="宋体" w:eastAsia="方正仿宋_GBK" w:cs="Arial"/>
          <w:sz w:val="32"/>
          <w:szCs w:val="32"/>
        </w:rPr>
        <w:t>培训的，建议向学校老师咨询，理性选择培训。</w:t>
      </w:r>
    </w:p>
    <w:p>
      <w:pPr>
        <w:snapToGrid w:val="0"/>
        <w:spacing w:line="579" w:lineRule="exact"/>
        <w:ind w:firstLine="640" w:firstLineChars="200"/>
        <w:rPr>
          <w:rStyle w:val="8"/>
          <w:rFonts w:hint="eastAsia" w:ascii="宋体" w:hAnsi="宋体" w:eastAsia="方正黑体_GBK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宋体" w:hAnsi="宋体" w:eastAsia="方正黑体_GBK"/>
          <w:b w:val="0"/>
          <w:bCs/>
          <w:color w:val="000000"/>
          <w:sz w:val="32"/>
          <w:szCs w:val="32"/>
        </w:rPr>
        <w:t>二、注</w:t>
      </w:r>
      <w:r>
        <w:rPr>
          <w:rStyle w:val="8"/>
          <w:rFonts w:ascii="宋体" w:hAnsi="宋体" w:eastAsia="方正黑体_GBK"/>
          <w:b w:val="0"/>
          <w:bCs/>
          <w:color w:val="000000"/>
          <w:sz w:val="32"/>
          <w:szCs w:val="32"/>
        </w:rPr>
        <w:t>意</w:t>
      </w:r>
      <w:r>
        <w:rPr>
          <w:rStyle w:val="8"/>
          <w:rFonts w:hint="eastAsia" w:ascii="宋体" w:hAnsi="宋体" w:eastAsia="方正黑体_GBK"/>
          <w:b w:val="0"/>
          <w:bCs/>
          <w:color w:val="000000"/>
          <w:sz w:val="32"/>
          <w:szCs w:val="32"/>
        </w:rPr>
        <w:t>培训安全、慎防虚假</w:t>
      </w:r>
      <w:r>
        <w:rPr>
          <w:rStyle w:val="8"/>
          <w:rFonts w:ascii="宋体" w:hAnsi="宋体" w:eastAsia="方正黑体_GBK"/>
          <w:b w:val="0"/>
          <w:bCs/>
          <w:color w:val="000000"/>
          <w:sz w:val="32"/>
          <w:szCs w:val="32"/>
        </w:rPr>
        <w:t>承诺</w:t>
      </w:r>
    </w:p>
    <w:p>
      <w:pPr>
        <w:pStyle w:val="5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Style w:val="8"/>
          <w:rFonts w:hint="eastAsia" w:hAnsi="宋体" w:eastAsia="方正黑体_GBK"/>
          <w:b w:val="0"/>
          <w:bCs/>
          <w:color w:val="000000"/>
          <w:sz w:val="32"/>
          <w:szCs w:val="32"/>
        </w:rPr>
      </w:pPr>
      <w:r>
        <w:rPr>
          <w:rFonts w:hAnsi="宋体" w:eastAsia="方正仿宋_GBK"/>
          <w:bCs/>
          <w:sz w:val="32"/>
          <w:szCs w:val="32"/>
        </w:rPr>
        <w:t>参加</w:t>
      </w:r>
      <w:r>
        <w:rPr>
          <w:rFonts w:hint="eastAsia" w:hAnsi="宋体" w:eastAsia="方正仿宋_GBK" w:cs="Arial"/>
          <w:sz w:val="32"/>
          <w:szCs w:val="32"/>
        </w:rPr>
        <w:t>“</w:t>
      </w:r>
      <w:r>
        <w:rPr>
          <w:rFonts w:hAnsi="宋体" w:eastAsia="方正仿宋_GBK" w:cs="Arial"/>
          <w:sz w:val="32"/>
          <w:szCs w:val="32"/>
        </w:rPr>
        <w:t>专升本</w:t>
      </w:r>
      <w:r>
        <w:rPr>
          <w:rFonts w:hint="eastAsia" w:hAnsi="宋体" w:eastAsia="方正仿宋_GBK" w:cs="Arial"/>
          <w:sz w:val="32"/>
          <w:szCs w:val="32"/>
        </w:rPr>
        <w:t>”</w:t>
      </w:r>
      <w:r>
        <w:rPr>
          <w:rFonts w:hAnsi="宋体" w:eastAsia="方正仿宋_GBK"/>
          <w:bCs/>
          <w:sz w:val="32"/>
          <w:szCs w:val="32"/>
        </w:rPr>
        <w:t>培训时，应当</w:t>
      </w:r>
      <w:r>
        <w:rPr>
          <w:rFonts w:hint="eastAsia" w:hAnsi="宋体" w:eastAsia="方正仿宋_GBK"/>
          <w:bCs/>
          <w:sz w:val="32"/>
          <w:szCs w:val="32"/>
        </w:rPr>
        <w:t>选择</w:t>
      </w:r>
      <w:r>
        <w:rPr>
          <w:rFonts w:hAnsi="宋体" w:eastAsia="方正仿宋_GBK"/>
          <w:bCs/>
          <w:sz w:val="32"/>
          <w:szCs w:val="32"/>
        </w:rPr>
        <w:t>证照齐全、</w:t>
      </w:r>
      <w:r>
        <w:rPr>
          <w:rFonts w:hint="eastAsia" w:hAnsi="宋体" w:eastAsia="方正仿宋_GBK"/>
          <w:bCs/>
          <w:sz w:val="32"/>
          <w:szCs w:val="32"/>
        </w:rPr>
        <w:t>安全设施齐备</w:t>
      </w:r>
      <w:r>
        <w:rPr>
          <w:rFonts w:hAnsi="宋体" w:eastAsia="方正仿宋_GBK"/>
          <w:bCs/>
          <w:sz w:val="32"/>
          <w:szCs w:val="32"/>
        </w:rPr>
        <w:t>、具有固定场所和长期固定师资、声誉良好</w:t>
      </w:r>
      <w:r>
        <w:rPr>
          <w:rFonts w:hint="eastAsia" w:hAnsi="宋体" w:eastAsia="方正仿宋_GBK"/>
          <w:bCs/>
          <w:sz w:val="32"/>
          <w:szCs w:val="32"/>
        </w:rPr>
        <w:t>的</w:t>
      </w:r>
      <w:r>
        <w:rPr>
          <w:rFonts w:hAnsi="宋体" w:eastAsia="方正仿宋_GBK"/>
          <w:bCs/>
          <w:sz w:val="32"/>
          <w:szCs w:val="32"/>
        </w:rPr>
        <w:t>校外</w:t>
      </w:r>
      <w:r>
        <w:rPr>
          <w:rFonts w:hint="eastAsia" w:hAnsi="宋体" w:eastAsia="方正仿宋_GBK"/>
          <w:bCs/>
          <w:sz w:val="32"/>
          <w:szCs w:val="32"/>
        </w:rPr>
        <w:t>培训机构</w:t>
      </w:r>
      <w:r>
        <w:rPr>
          <w:rFonts w:hAnsi="宋体" w:eastAsia="方正仿宋_GBK"/>
          <w:bCs/>
          <w:sz w:val="32"/>
          <w:szCs w:val="32"/>
        </w:rPr>
        <w:t>。在培训过程中</w:t>
      </w:r>
      <w:r>
        <w:rPr>
          <w:rFonts w:hint="eastAsia" w:hAnsi="宋体" w:eastAsia="方正仿宋_GBK"/>
          <w:bCs/>
          <w:sz w:val="32"/>
          <w:szCs w:val="32"/>
        </w:rPr>
        <w:t>注意交通安全，防范暴力欺凌</w:t>
      </w:r>
      <w:r>
        <w:rPr>
          <w:rFonts w:hAnsi="宋体" w:eastAsia="方正仿宋_GBK"/>
          <w:bCs/>
          <w:sz w:val="32"/>
          <w:szCs w:val="32"/>
        </w:rPr>
        <w:t>，</w:t>
      </w:r>
      <w:r>
        <w:rPr>
          <w:rFonts w:hint="eastAsia" w:hAnsi="宋体" w:eastAsia="方正仿宋_GBK"/>
          <w:bCs/>
          <w:sz w:val="32"/>
          <w:szCs w:val="32"/>
        </w:rPr>
        <w:t>避免人身侵犯。请勿参加“</w:t>
      </w:r>
      <w:r>
        <w:rPr>
          <w:rFonts w:hAnsi="宋体" w:eastAsia="方正仿宋_GBK"/>
          <w:bCs/>
          <w:sz w:val="32"/>
          <w:szCs w:val="32"/>
        </w:rPr>
        <w:t>保过班</w:t>
      </w:r>
      <w:r>
        <w:rPr>
          <w:rFonts w:hint="eastAsia" w:hAnsi="宋体" w:eastAsia="方正仿宋_GBK"/>
          <w:bCs/>
          <w:sz w:val="32"/>
          <w:szCs w:val="32"/>
        </w:rPr>
        <w:t>”“考试真题”等虚假</w:t>
      </w:r>
      <w:r>
        <w:rPr>
          <w:rFonts w:hAnsi="宋体" w:eastAsia="方正仿宋_GBK"/>
          <w:sz w:val="32"/>
          <w:szCs w:val="32"/>
        </w:rPr>
        <w:t>承诺</w:t>
      </w:r>
      <w:r>
        <w:rPr>
          <w:rFonts w:hint="eastAsia" w:hAnsi="宋体" w:eastAsia="方正仿宋_GBK"/>
          <w:bCs/>
          <w:sz w:val="32"/>
          <w:szCs w:val="32"/>
        </w:rPr>
        <w:t>培训</w:t>
      </w:r>
      <w:r>
        <w:rPr>
          <w:rFonts w:hAnsi="宋体" w:eastAsia="方正仿宋_GBK"/>
          <w:bCs/>
          <w:sz w:val="32"/>
          <w:szCs w:val="32"/>
        </w:rPr>
        <w:t>，拒绝</w:t>
      </w:r>
      <w:r>
        <w:rPr>
          <w:rFonts w:hint="eastAsia" w:hAnsi="宋体" w:eastAsia="方正仿宋_GBK"/>
          <w:bCs/>
          <w:sz w:val="32"/>
          <w:szCs w:val="32"/>
        </w:rPr>
        <w:t>“</w:t>
      </w:r>
      <w:r>
        <w:rPr>
          <w:rFonts w:hAnsi="宋体" w:eastAsia="方正仿宋_GBK"/>
          <w:bCs/>
          <w:sz w:val="32"/>
          <w:szCs w:val="32"/>
        </w:rPr>
        <w:t>打折收费</w:t>
      </w:r>
      <w:r>
        <w:rPr>
          <w:rFonts w:hint="eastAsia" w:hAnsi="宋体" w:eastAsia="方正仿宋_GBK"/>
          <w:bCs/>
          <w:sz w:val="32"/>
          <w:szCs w:val="32"/>
        </w:rPr>
        <w:t>”“VIP</w:t>
      </w:r>
      <w:r>
        <w:rPr>
          <w:rFonts w:hAnsi="宋体" w:eastAsia="方正仿宋_GBK"/>
          <w:bCs/>
          <w:sz w:val="32"/>
          <w:szCs w:val="32"/>
        </w:rPr>
        <w:t>会员</w:t>
      </w:r>
      <w:r>
        <w:rPr>
          <w:rFonts w:hint="eastAsia" w:hAnsi="宋体" w:eastAsia="方正仿宋_GBK"/>
          <w:bCs/>
          <w:sz w:val="32"/>
          <w:szCs w:val="32"/>
        </w:rPr>
        <w:t>”等虚假</w:t>
      </w:r>
      <w:r>
        <w:rPr>
          <w:rFonts w:hAnsi="宋体" w:eastAsia="方正仿宋_GBK"/>
          <w:bCs/>
          <w:sz w:val="32"/>
          <w:szCs w:val="32"/>
        </w:rPr>
        <w:t>诱导缴费行为。</w:t>
      </w:r>
    </w:p>
    <w:p>
      <w:pPr>
        <w:snapToGrid w:val="0"/>
        <w:spacing w:line="579" w:lineRule="exact"/>
        <w:ind w:firstLine="640" w:firstLineChars="200"/>
        <w:rPr>
          <w:rStyle w:val="8"/>
          <w:rFonts w:hint="eastAsia" w:ascii="宋体" w:hAnsi="宋体" w:eastAsia="方正黑体_GBK"/>
          <w:b w:val="0"/>
          <w:bCs/>
          <w:color w:val="000000"/>
          <w:sz w:val="32"/>
          <w:szCs w:val="32"/>
        </w:rPr>
      </w:pPr>
      <w:r>
        <w:rPr>
          <w:rStyle w:val="8"/>
          <w:rFonts w:hint="eastAsia" w:ascii="宋体" w:hAnsi="宋体" w:eastAsia="方正黑体_GBK"/>
          <w:b w:val="0"/>
          <w:bCs/>
          <w:color w:val="000000"/>
          <w:sz w:val="32"/>
          <w:szCs w:val="32"/>
        </w:rPr>
        <w:t>三、依法签订合同、务必索取票据</w:t>
      </w:r>
    </w:p>
    <w:p>
      <w:pPr>
        <w:pStyle w:val="5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Ansi="宋体" w:eastAsia="方正仿宋_GBK"/>
          <w:sz w:val="32"/>
          <w:szCs w:val="32"/>
        </w:rPr>
      </w:pPr>
      <w:r>
        <w:rPr>
          <w:rFonts w:hAnsi="宋体" w:eastAsia="方正仿宋_GBK"/>
          <w:sz w:val="32"/>
          <w:szCs w:val="32"/>
        </w:rPr>
        <w:t>在参加</w:t>
      </w:r>
      <w:r>
        <w:rPr>
          <w:rFonts w:hint="eastAsia" w:hAnsi="宋体" w:eastAsia="方正仿宋_GBK"/>
          <w:sz w:val="32"/>
          <w:szCs w:val="32"/>
        </w:rPr>
        <w:t>“</w:t>
      </w:r>
      <w:r>
        <w:rPr>
          <w:rFonts w:hAnsi="宋体" w:eastAsia="方正仿宋_GBK"/>
          <w:sz w:val="32"/>
          <w:szCs w:val="32"/>
        </w:rPr>
        <w:t>专升本</w:t>
      </w:r>
      <w:r>
        <w:rPr>
          <w:rFonts w:hint="eastAsia" w:hAnsi="宋体" w:eastAsia="方正仿宋_GBK"/>
          <w:sz w:val="32"/>
          <w:szCs w:val="32"/>
        </w:rPr>
        <w:t>”</w:t>
      </w:r>
      <w:r>
        <w:rPr>
          <w:rFonts w:hAnsi="宋体" w:eastAsia="方正仿宋_GBK"/>
          <w:sz w:val="32"/>
          <w:szCs w:val="32"/>
        </w:rPr>
        <w:t>培训时，应核查培训收费公示，注意核查培训收费科目，培训一课时收费标准，培训总课时数及培训总金额，严防培训机构无明细收费（只有总价收费）、赠送课时收费、免费试听等虚假承诺。请在参加培训前认真</w:t>
      </w:r>
      <w:r>
        <w:rPr>
          <w:rFonts w:hint="eastAsia" w:hAnsi="宋体" w:eastAsia="方正仿宋_GBK"/>
          <w:sz w:val="32"/>
          <w:szCs w:val="32"/>
        </w:rPr>
        <w:t>研读培训合同条款，</w:t>
      </w:r>
      <w:r>
        <w:rPr>
          <w:rFonts w:hAnsi="宋体" w:eastAsia="方正仿宋_GBK"/>
          <w:sz w:val="32"/>
          <w:szCs w:val="32"/>
        </w:rPr>
        <w:t>特别注意并提出终止培训相关条款，细读扣费项目内容，经家长核实无误同意培训后签订培训合同。缴费时需向培训机构</w:t>
      </w:r>
      <w:r>
        <w:rPr>
          <w:rFonts w:hint="eastAsia" w:hAnsi="宋体" w:eastAsia="方正仿宋_GBK"/>
          <w:sz w:val="32"/>
          <w:szCs w:val="32"/>
        </w:rPr>
        <w:t>索要正规</w:t>
      </w:r>
      <w:r>
        <w:rPr>
          <w:rFonts w:hAnsi="宋体" w:eastAsia="方正仿宋_GBK"/>
          <w:sz w:val="32"/>
          <w:szCs w:val="32"/>
        </w:rPr>
        <w:t>票据（票据应注明：一课时收费标准，培训总课时数及培训总金额）。</w:t>
      </w:r>
    </w:p>
    <w:p>
      <w:pPr>
        <w:pStyle w:val="5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Style w:val="8"/>
          <w:rFonts w:hint="eastAsia" w:hAnsi="宋体" w:eastAsia="方正黑体_GBK"/>
          <w:b w:val="0"/>
          <w:bCs/>
          <w:color w:val="000000"/>
          <w:sz w:val="32"/>
          <w:szCs w:val="32"/>
        </w:rPr>
      </w:pPr>
      <w:r>
        <w:rPr>
          <w:rStyle w:val="8"/>
          <w:rFonts w:hint="eastAsia" w:hAnsi="宋体" w:eastAsia="方正黑体_GBK"/>
          <w:b w:val="0"/>
          <w:bCs/>
          <w:color w:val="000000"/>
          <w:sz w:val="32"/>
          <w:szCs w:val="32"/>
        </w:rPr>
        <w:t>四、</w:t>
      </w:r>
      <w:r>
        <w:rPr>
          <w:rStyle w:val="8"/>
          <w:rFonts w:hAnsi="宋体" w:eastAsia="方正黑体_GBK"/>
          <w:b w:val="0"/>
          <w:bCs/>
          <w:color w:val="000000"/>
          <w:sz w:val="32"/>
          <w:szCs w:val="32"/>
        </w:rPr>
        <w:t>拒绝诱导</w:t>
      </w:r>
      <w:r>
        <w:rPr>
          <w:rStyle w:val="8"/>
          <w:rFonts w:hint="eastAsia" w:hAnsi="宋体" w:eastAsia="方正黑体_GBK"/>
          <w:b w:val="0"/>
          <w:bCs/>
          <w:color w:val="000000"/>
          <w:sz w:val="32"/>
          <w:szCs w:val="32"/>
        </w:rPr>
        <w:t>培训</w:t>
      </w:r>
      <w:r>
        <w:rPr>
          <w:rStyle w:val="8"/>
          <w:rFonts w:hAnsi="宋体" w:eastAsia="方正黑体_GBK"/>
          <w:b w:val="0"/>
          <w:bCs/>
          <w:color w:val="000000"/>
          <w:sz w:val="32"/>
          <w:szCs w:val="32"/>
        </w:rPr>
        <w:t>、</w:t>
      </w:r>
      <w:r>
        <w:rPr>
          <w:rStyle w:val="8"/>
          <w:rFonts w:hint="eastAsia" w:hAnsi="宋体" w:eastAsia="方正黑体_GBK"/>
          <w:b w:val="0"/>
          <w:bCs/>
          <w:color w:val="000000"/>
          <w:sz w:val="32"/>
          <w:szCs w:val="32"/>
        </w:rPr>
        <w:t>依法解决纠纷</w:t>
      </w:r>
    </w:p>
    <w:p>
      <w:pPr>
        <w:snapToGrid w:val="0"/>
        <w:spacing w:line="579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请</w:t>
      </w:r>
      <w:r>
        <w:rPr>
          <w:rFonts w:hint="eastAsia" w:ascii="宋体" w:hAnsi="宋体" w:eastAsia="方正仿宋_GBK"/>
          <w:bCs/>
          <w:sz w:val="32"/>
          <w:szCs w:val="32"/>
        </w:rPr>
        <w:t>拒绝参加“</w:t>
      </w:r>
      <w:r>
        <w:rPr>
          <w:rFonts w:ascii="宋体" w:hAnsi="宋体" w:eastAsia="方正仿宋_GBK"/>
          <w:bCs/>
          <w:sz w:val="32"/>
          <w:szCs w:val="32"/>
        </w:rPr>
        <w:t>专升本</w:t>
      </w:r>
      <w:r>
        <w:rPr>
          <w:rFonts w:hint="eastAsia" w:ascii="宋体" w:hAnsi="宋体" w:eastAsia="方正仿宋_GBK"/>
          <w:bCs/>
          <w:sz w:val="32"/>
          <w:szCs w:val="32"/>
        </w:rPr>
        <w:t>”诱导培训</w:t>
      </w:r>
      <w:r>
        <w:rPr>
          <w:rFonts w:hint="eastAsia" w:ascii="宋体" w:hAnsi="宋体" w:eastAsia="方正仿宋_GBK"/>
          <w:sz w:val="32"/>
          <w:szCs w:val="32"/>
        </w:rPr>
        <w:t>，</w:t>
      </w:r>
      <w:r>
        <w:rPr>
          <w:rFonts w:ascii="宋体" w:hAnsi="宋体" w:eastAsia="方正仿宋_GBK"/>
          <w:bCs/>
          <w:sz w:val="32"/>
          <w:szCs w:val="32"/>
        </w:rPr>
        <w:t>当您遇到培训纠纷时，请依据签订的合同</w:t>
      </w:r>
      <w:r>
        <w:rPr>
          <w:rFonts w:hint="eastAsia" w:ascii="宋体" w:hAnsi="宋体" w:eastAsia="方正仿宋_GBK"/>
          <w:bCs/>
          <w:sz w:val="32"/>
          <w:szCs w:val="32"/>
        </w:rPr>
        <w:t>与</w:t>
      </w:r>
      <w:r>
        <w:rPr>
          <w:rFonts w:ascii="宋体" w:hAnsi="宋体" w:eastAsia="方正仿宋_GBK"/>
          <w:bCs/>
          <w:sz w:val="32"/>
          <w:szCs w:val="32"/>
        </w:rPr>
        <w:t>培训</w:t>
      </w:r>
      <w:r>
        <w:rPr>
          <w:rFonts w:hint="eastAsia" w:ascii="宋体" w:hAnsi="宋体" w:eastAsia="方正仿宋_GBK"/>
          <w:bCs/>
          <w:sz w:val="32"/>
          <w:szCs w:val="32"/>
        </w:rPr>
        <w:t>机构协商</w:t>
      </w:r>
      <w:r>
        <w:rPr>
          <w:rFonts w:hint="eastAsia" w:ascii="宋体" w:hAnsi="宋体" w:eastAsia="方正仿宋_GBK"/>
          <w:sz w:val="32"/>
          <w:szCs w:val="32"/>
        </w:rPr>
        <w:t>解决</w:t>
      </w:r>
      <w:r>
        <w:rPr>
          <w:rFonts w:ascii="宋体" w:hAnsi="宋体" w:eastAsia="方正仿宋_GBK"/>
          <w:sz w:val="32"/>
          <w:szCs w:val="32"/>
        </w:rPr>
        <w:t>，或</w:t>
      </w:r>
      <w:r>
        <w:rPr>
          <w:rFonts w:hint="eastAsia" w:ascii="宋体" w:hAnsi="宋体" w:eastAsia="方正仿宋_GBK"/>
          <w:sz w:val="32"/>
          <w:szCs w:val="32"/>
        </w:rPr>
        <w:t>联系教育、市场监管等部门调解（</w:t>
      </w:r>
      <w:r>
        <w:rPr>
          <w:rFonts w:ascii="宋体" w:hAnsi="宋体" w:eastAsia="方正仿宋_GBK"/>
          <w:sz w:val="32"/>
          <w:szCs w:val="32"/>
        </w:rPr>
        <w:t>联系</w:t>
      </w:r>
      <w:r>
        <w:rPr>
          <w:rFonts w:hint="eastAsia" w:ascii="宋体" w:hAnsi="宋体" w:eastAsia="方正仿宋_GBK"/>
          <w:sz w:val="32"/>
          <w:szCs w:val="32"/>
        </w:rPr>
        <w:t>电话，区教委：47524390，区消委会：47550315）</w:t>
      </w:r>
      <w:r>
        <w:rPr>
          <w:rFonts w:ascii="宋体" w:hAnsi="宋体" w:eastAsia="方正仿宋_GBK"/>
          <w:sz w:val="32"/>
          <w:szCs w:val="32"/>
        </w:rPr>
        <w:t>，</w:t>
      </w:r>
      <w:r>
        <w:rPr>
          <w:rFonts w:hint="eastAsia" w:ascii="宋体" w:hAnsi="宋体" w:eastAsia="方正仿宋_GBK"/>
          <w:sz w:val="32"/>
          <w:szCs w:val="32"/>
        </w:rPr>
        <w:t>也可</w:t>
      </w:r>
      <w:r>
        <w:rPr>
          <w:rFonts w:ascii="宋体" w:hAnsi="宋体" w:eastAsia="方正仿宋_GBK"/>
          <w:sz w:val="32"/>
          <w:szCs w:val="32"/>
        </w:rPr>
        <w:t>依法向法院起诉，</w:t>
      </w:r>
      <w:r>
        <w:rPr>
          <w:rFonts w:hint="eastAsia" w:ascii="宋体" w:hAnsi="宋体" w:eastAsia="方正仿宋_GBK"/>
          <w:sz w:val="32"/>
          <w:szCs w:val="32"/>
        </w:rPr>
        <w:t>用法律武器维护自身合法权益。</w:t>
      </w:r>
    </w:p>
    <w:p>
      <w:pPr>
        <w:pStyle w:val="5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Ansi="宋体" w:eastAsia="方正仿宋_GBK"/>
          <w:sz w:val="32"/>
          <w:szCs w:val="32"/>
        </w:rPr>
      </w:pPr>
      <w:r>
        <w:rPr>
          <w:rFonts w:hint="eastAsia" w:hAnsi="宋体" w:eastAsia="方正仿宋_GBK"/>
          <w:sz w:val="32"/>
          <w:szCs w:val="32"/>
        </w:rPr>
        <w:t>我们再次提醒您：</w:t>
      </w:r>
      <w:r>
        <w:rPr>
          <w:rFonts w:hAnsi="宋体" w:eastAsia="方正仿宋_GBK"/>
          <w:sz w:val="32"/>
          <w:szCs w:val="32"/>
        </w:rPr>
        <w:t>理性参加</w:t>
      </w:r>
      <w:r>
        <w:rPr>
          <w:rFonts w:hint="eastAsia" w:hAnsi="宋体" w:eastAsia="方正仿宋_GBK"/>
          <w:sz w:val="32"/>
          <w:szCs w:val="32"/>
        </w:rPr>
        <w:t>“专升本”培训！规避缴费风险！若</w:t>
      </w:r>
      <w:r>
        <w:rPr>
          <w:rFonts w:hAnsi="宋体" w:eastAsia="方正仿宋_GBK"/>
          <w:sz w:val="32"/>
          <w:szCs w:val="32"/>
        </w:rPr>
        <w:t>因未</w:t>
      </w:r>
      <w:r>
        <w:rPr>
          <w:rFonts w:hint="eastAsia" w:hAnsi="宋体" w:eastAsia="方正仿宋_GBK"/>
          <w:sz w:val="32"/>
          <w:szCs w:val="32"/>
        </w:rPr>
        <w:t>听取提醒劝阻导致权益受损</w:t>
      </w:r>
      <w:r>
        <w:rPr>
          <w:rFonts w:hAnsi="宋体" w:eastAsia="方正仿宋_GBK"/>
          <w:sz w:val="32"/>
          <w:szCs w:val="32"/>
        </w:rPr>
        <w:t>者</w:t>
      </w:r>
      <w:r>
        <w:rPr>
          <w:rFonts w:hint="eastAsia" w:hAnsi="宋体" w:eastAsia="方正仿宋_GBK"/>
          <w:sz w:val="32"/>
          <w:szCs w:val="32"/>
        </w:rPr>
        <w:t>，需自行承担相应责任</w:t>
      </w:r>
      <w:r>
        <w:rPr>
          <w:rFonts w:hAnsi="宋体" w:eastAsia="方正仿宋_GBK"/>
          <w:sz w:val="32"/>
          <w:szCs w:val="32"/>
        </w:rPr>
        <w:t>！</w:t>
      </w:r>
    </w:p>
    <w:p>
      <w:pPr>
        <w:pStyle w:val="9"/>
        <w:widowControl w:val="0"/>
        <w:tabs>
          <w:tab w:val="left" w:pos="5400"/>
          <w:tab w:val="left" w:pos="5580"/>
          <w:tab w:val="left" w:pos="6120"/>
        </w:tabs>
        <w:snapToGrid w:val="0"/>
        <w:spacing w:before="0" w:beforeAutospacing="0" w:after="0" w:afterAutospacing="0" w:line="579" w:lineRule="exact"/>
        <w:jc w:val="both"/>
        <w:rPr>
          <w:rFonts w:hint="eastAsia" w:eastAsia="方正仿宋_GBK" w:cs="Times New Roman"/>
          <w:kern w:val="36"/>
          <w:sz w:val="32"/>
          <w:szCs w:val="32"/>
        </w:rPr>
      </w:pPr>
    </w:p>
    <w:p>
      <w:pPr>
        <w:pStyle w:val="9"/>
        <w:widowControl w:val="0"/>
        <w:tabs>
          <w:tab w:val="left" w:pos="5400"/>
          <w:tab w:val="left" w:pos="5580"/>
          <w:tab w:val="left" w:pos="6120"/>
        </w:tabs>
        <w:snapToGrid w:val="0"/>
        <w:spacing w:before="0" w:beforeAutospacing="0" w:after="0" w:afterAutospacing="0" w:line="579" w:lineRule="exact"/>
        <w:ind w:left="0" w:leftChars="0" w:firstLine="4617" w:firstLineChars="1443"/>
        <w:jc w:val="both"/>
        <w:rPr>
          <w:rFonts w:hint="eastAsia" w:eastAsia="方正仿宋_GBK" w:cs="Times New Roman"/>
          <w:kern w:val="36"/>
          <w:sz w:val="32"/>
          <w:szCs w:val="32"/>
        </w:rPr>
      </w:pPr>
      <w:r>
        <w:rPr>
          <w:rFonts w:hint="eastAsia" w:eastAsia="方正仿宋_GBK" w:cs="Times New Roman"/>
          <w:kern w:val="36"/>
          <w:sz w:val="32"/>
          <w:szCs w:val="32"/>
        </w:rPr>
        <w:t>重庆市江津区教育委员会</w:t>
      </w:r>
    </w:p>
    <w:p>
      <w:pPr>
        <w:spacing w:line="579" w:lineRule="exact"/>
        <w:ind w:firstLine="5440" w:firstLineChars="1700"/>
        <w:rPr>
          <w:rFonts w:eastAsia="方正黑体_GBK"/>
          <w:color w:val="000000"/>
          <w:kern w:val="36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2023年12月</w:t>
      </w:r>
      <w:r>
        <w:rPr>
          <w:rFonts w:hint="eastAsia" w:ascii="宋体" w:hAnsi="宋体" w:eastAsia="方正仿宋_GBK"/>
          <w:sz w:val="32"/>
          <w:szCs w:val="32"/>
        </w:rPr>
        <w:t>27</w:t>
      </w:r>
      <w:r>
        <w:rPr>
          <w:rFonts w:ascii="宋体" w:hAnsi="宋体" w:eastAsia="方正仿宋_GBK"/>
          <w:sz w:val="32"/>
          <w:szCs w:val="32"/>
        </w:rPr>
        <w:t>日</w:t>
      </w:r>
    </w:p>
    <w:p>
      <w:pPr>
        <w:pStyle w:val="9"/>
        <w:widowControl w:val="0"/>
        <w:tabs>
          <w:tab w:val="left" w:pos="5400"/>
          <w:tab w:val="left" w:pos="5580"/>
          <w:tab w:val="left" w:pos="6120"/>
        </w:tabs>
        <w:snapToGrid w:val="0"/>
        <w:spacing w:before="0" w:beforeAutospacing="0" w:after="0" w:afterAutospacing="0" w:line="579" w:lineRule="exact"/>
        <w:jc w:val="both"/>
        <w:rPr>
          <w:rFonts w:hint="eastAsia" w:eastAsia="方正黑体_GBK" w:cs="Times New Roman"/>
          <w:color w:val="000000"/>
          <w:kern w:val="36"/>
          <w:sz w:val="32"/>
          <w:szCs w:val="32"/>
        </w:rPr>
      </w:pPr>
      <w:r>
        <w:rPr>
          <w:rFonts w:hint="eastAsia" w:eastAsia="方正黑体_GBK" w:cs="Times New Roman"/>
          <w:color w:val="000000"/>
          <w:kern w:val="36"/>
          <w:sz w:val="32"/>
          <w:szCs w:val="32"/>
        </w:rPr>
        <w:br w:type="page"/>
      </w:r>
      <w:r>
        <w:rPr>
          <w:rFonts w:hint="eastAsia" w:eastAsia="方正黑体_GBK" w:cs="Times New Roman"/>
          <w:color w:val="000000"/>
          <w:kern w:val="36"/>
          <w:sz w:val="32"/>
          <w:szCs w:val="32"/>
        </w:rPr>
        <w:t>附件2</w:t>
      </w:r>
    </w:p>
    <w:p>
      <w:pPr>
        <w:pStyle w:val="3"/>
        <w:rPr>
          <w:rFonts w:hint="eastAsia"/>
        </w:rPr>
      </w:pPr>
    </w:p>
    <w:p>
      <w:pPr>
        <w:spacing w:line="579" w:lineRule="exact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年重庆市普通高校专升本统一考试政策宣传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和专升本参培告知书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知晓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情况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统计表</w:t>
      </w:r>
    </w:p>
    <w:p>
      <w:pPr>
        <w:pStyle w:val="4"/>
        <w:jc w:val="center"/>
        <w:rPr>
          <w:rFonts w:hint="eastAsia" w:ascii="仿宋" w:eastAsia="仿宋"/>
          <w:sz w:val="32"/>
          <w:szCs w:val="32"/>
        </w:rPr>
      </w:pPr>
    </w:p>
    <w:p>
      <w:pPr>
        <w:pStyle w:val="4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                      填表时间：</w:t>
      </w:r>
    </w:p>
    <w:tbl>
      <w:tblPr>
        <w:tblStyle w:val="6"/>
        <w:tblW w:w="52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240"/>
        <w:gridCol w:w="1151"/>
        <w:gridCol w:w="1121"/>
        <w:gridCol w:w="1192"/>
        <w:gridCol w:w="141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学院</w:t>
            </w:r>
          </w:p>
        </w:tc>
        <w:tc>
          <w:tcPr>
            <w:tcW w:w="1965" w:type="pct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学生知晓情况统计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（专升本统一考试招生工作、免试招生工作政策）</w:t>
            </w:r>
          </w:p>
        </w:tc>
        <w:tc>
          <w:tcPr>
            <w:tcW w:w="2115" w:type="pct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学生及家长知晓情况统计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（参培告知书）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vMerge w:val="continue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694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学生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人数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学生知晓政策人数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学生知晓率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发放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参培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告知书份数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学生及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家长回复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份数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学生及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家长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知晓率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2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791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2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791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9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2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791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9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69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2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67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791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" w:eastAsia="仿宋"/>
                <w:sz w:val="32"/>
                <w:szCs w:val="32"/>
              </w:rPr>
            </w:pPr>
          </w:p>
        </w:tc>
      </w:tr>
    </w:tbl>
    <w:p>
      <w:pPr>
        <w:pStyle w:val="4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yYjE1ODE5YWM5ZjdmMjg2ODMzMTJhZTg3OTEifQ=="/>
  </w:docVars>
  <w:rsids>
    <w:rsidRoot w:val="02976732"/>
    <w:rsid w:val="029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  <w:adjustRightInd w:val="0"/>
      <w:ind w:left="111"/>
      <w:jc w:val="left"/>
    </w:pPr>
    <w:rPr>
      <w:rFonts w:ascii="宋体" w:eastAsia="宋体" w:cs="宋体"/>
      <w:kern w:val="0"/>
      <w:sz w:val="32"/>
      <w:szCs w:val="32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jc w:val="center"/>
    </w:pPr>
  </w:style>
  <w:style w:type="paragraph" w:styleId="4">
    <w:name w:val="Plain Text"/>
    <w:basedOn w:val="1"/>
    <w:qFormat/>
    <w:uiPriority w:val="0"/>
    <w:rPr>
      <w:rFonts w:ascii="Courier New" w:hAnsi="Courier New" w:eastAsia="宋体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p0"/>
    <w:next w:val="3"/>
    <w:autoRedefine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2024-01-04T02:21:00Z</dcterms:created>
  <dc:creator>1</dc:creator>
  <cp:lastModifiedBy>1</cp:lastModifiedBy>
  <dcterms:modified xsi:type="dcterms:W3CDTF">2024-01-04T02:21:54Z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68C0C9B367F247E4A6035D021E92C9BC_11</vt:lpwstr>
  </property>
</Properties>
</file>